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F7" w:rsidRPr="003C61F7" w:rsidRDefault="003C61F7" w:rsidP="003C61F7">
      <w:pPr>
        <w:shd w:val="clear" w:color="auto" w:fill="FAFAFA"/>
        <w:spacing w:before="330" w:line="240" w:lineRule="auto"/>
        <w:outlineLvl w:val="1"/>
        <w:rPr>
          <w:rFonts w:ascii="Arial CE" w:eastAsia="Times New Roman" w:hAnsi="Arial CE" w:cs="Arial CE"/>
          <w:b/>
          <w:bCs/>
          <w:color w:val="1E2D3C"/>
          <w:sz w:val="52"/>
          <w:szCs w:val="52"/>
          <w:u w:val="single"/>
          <w:lang w:eastAsia="cs-CZ"/>
        </w:rPr>
      </w:pPr>
      <w:r w:rsidRPr="003C61F7">
        <w:rPr>
          <w:rFonts w:ascii="Arial CE" w:eastAsia="Times New Roman" w:hAnsi="Arial CE" w:cs="Arial CE"/>
          <w:b/>
          <w:bCs/>
          <w:color w:val="1E2D3C"/>
          <w:sz w:val="52"/>
          <w:szCs w:val="52"/>
          <w:u w:val="single"/>
          <w:lang w:eastAsia="cs-CZ"/>
        </w:rPr>
        <w:t>Vyhlášení varovného signálu "Všeobecná výstraha"</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03. Pojmenování (název) životní situace</w:t>
      </w:r>
    </w:p>
    <w:p w:rsidR="003C61F7" w:rsidRPr="003C61F7" w:rsidRDefault="003C61F7" w:rsidP="003C61F7">
      <w:pPr>
        <w:shd w:val="clear" w:color="auto" w:fill="FAFAFA"/>
        <w:spacing w:before="100" w:beforeAutospacing="1" w:after="100" w:afterAutospacing="1" w:line="240" w:lineRule="auto"/>
        <w:rPr>
          <w:rFonts w:ascii="Arial CE" w:eastAsia="Times New Roman" w:hAnsi="Arial CE" w:cs="Arial CE"/>
          <w:color w:val="1E2D3C"/>
          <w:sz w:val="20"/>
          <w:szCs w:val="20"/>
          <w:lang w:eastAsia="cs-CZ"/>
        </w:rPr>
      </w:pPr>
      <w:r w:rsidRPr="003C61F7">
        <w:rPr>
          <w:rFonts w:ascii="Arial CE" w:eastAsia="Times New Roman" w:hAnsi="Arial CE" w:cs="Arial CE"/>
          <w:color w:val="1E2D3C"/>
          <w:sz w:val="20"/>
          <w:szCs w:val="20"/>
          <w:lang w:eastAsia="cs-CZ"/>
        </w:rPr>
        <w:t>Vyhlášení varovného signálu "Všeobecná výstraha"</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04. Základní informace k životní situaci</w:t>
      </w:r>
      <w:bookmarkStart w:id="0" w:name="_GoBack"/>
      <w:bookmarkEnd w:id="0"/>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Obyvatelstvo je v případě hrozby nebo vzniku mimořádné události varováno varovným signálem </w:t>
      </w:r>
      <w:r w:rsidRPr="003C61F7">
        <w:rPr>
          <w:rFonts w:ascii="Arial CE" w:eastAsia="Times New Roman" w:hAnsi="Arial CE" w:cs="Arial CE"/>
          <w:b/>
          <w:bCs/>
          <w:color w:val="1E2D3C"/>
          <w:sz w:val="24"/>
          <w:szCs w:val="24"/>
          <w:lang w:eastAsia="cs-CZ"/>
        </w:rPr>
        <w:t>"Všeobecná výstraha"</w:t>
      </w:r>
      <w:r w:rsidRPr="003C61F7">
        <w:rPr>
          <w:rFonts w:ascii="Arial CE" w:eastAsia="Times New Roman" w:hAnsi="Arial CE" w:cs="Arial CE"/>
          <w:color w:val="1E2D3C"/>
          <w:sz w:val="24"/>
          <w:szCs w:val="24"/>
          <w:lang w:eastAsia="cs-CZ"/>
        </w:rPr>
        <w:t>. Tento signál je vyhlašován kolísavým tónem sirény po dobu 140 vteřin a může zaznít třikrát po sobě v cca tříminutových intervalech. Obyvatelstvo je následně informováno např. rozhlasem, televizí, místním rozhlasem, tzv. mluvícími sirénami, vozidly složek integrovaného záchranného systému nebo jiným způsobem o tom, co se stalo a co se má v takovém případě dělat.</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V této souvislosti je třeba znát, že kromě varovného signálu "Všeobecná výstraha" existuje v České republice také signál </w:t>
      </w:r>
      <w:r w:rsidRPr="003C61F7">
        <w:rPr>
          <w:rFonts w:ascii="Arial CE" w:eastAsia="Times New Roman" w:hAnsi="Arial CE" w:cs="Arial CE"/>
          <w:b/>
          <w:bCs/>
          <w:color w:val="1E2D3C"/>
          <w:sz w:val="24"/>
          <w:szCs w:val="24"/>
          <w:lang w:eastAsia="cs-CZ"/>
        </w:rPr>
        <w:t>"Požární poplach"</w:t>
      </w:r>
      <w:r w:rsidRPr="003C61F7">
        <w:rPr>
          <w:rFonts w:ascii="Arial CE" w:eastAsia="Times New Roman" w:hAnsi="Arial CE" w:cs="Arial CE"/>
          <w:color w:val="1E2D3C"/>
          <w:sz w:val="24"/>
          <w:szCs w:val="24"/>
          <w:lang w:eastAsia="cs-CZ"/>
        </w:rPr>
        <w:t>. Tento signál je vyhlašován přerušovaným tónem sirény po dobu 1 minuty (25 vteřin trvalý tón, 10 vteřin přestávka, 25 vteřin trvalý tón). Vyhlašuje se za účelem svolání jednotek požární ochrany. Signál "Požární poplach" vyhlašovaný elektronickou sirénou napodobuje hlas trubky troubící tón "HO-ŘÍ", "HO-ŘÍ" - po dobu jedné minuty.</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Ověřování provozuschopnosti systému varování a vyrozumění se provádí zpravidla každou </w:t>
      </w:r>
      <w:r w:rsidRPr="003C61F7">
        <w:rPr>
          <w:rFonts w:ascii="Arial CE" w:eastAsia="Times New Roman" w:hAnsi="Arial CE" w:cs="Arial CE"/>
          <w:b/>
          <w:bCs/>
          <w:color w:val="1E2D3C"/>
          <w:sz w:val="24"/>
          <w:szCs w:val="24"/>
          <w:lang w:eastAsia="cs-CZ"/>
        </w:rPr>
        <w:t>první středu v měsíci ve 12 hodin </w:t>
      </w:r>
      <w:r w:rsidRPr="003C61F7">
        <w:rPr>
          <w:rFonts w:ascii="Arial CE" w:eastAsia="Times New Roman" w:hAnsi="Arial CE" w:cs="Arial CE"/>
          <w:color w:val="1E2D3C"/>
          <w:sz w:val="24"/>
          <w:szCs w:val="24"/>
          <w:lang w:eastAsia="cs-CZ"/>
        </w:rPr>
        <w:t>akustickou zkouškou koncových prvků varování zkušebním tónem (nepřerušovaný tón sirény po dobu 140 vteřin). O této skutečnosti jsou obyvatelé informováni hromadnými informačními prostředky.</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05. Kdo je oprávněn v této věci jednat (podat žádost apod.)</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Každý občan v takovéto situaci jedná dle vlastních schopností, znalostí, dovedností a pokynů vydávaných příslušnými státními orgány a orgány územních samosprávných celků.</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06. Jaké jsou podmínky a postup pro řešení životní situace</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Po zaznění varovného signálu "Všeobecná výstraha" (kolísavý tón sirény po dobu 140 vteřin):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
        <w:gridCol w:w="150"/>
        <w:gridCol w:w="15329"/>
      </w:tblGrid>
      <w:tr w:rsidR="003C61F7" w:rsidRPr="003C61F7" w:rsidTr="003C61F7">
        <w:trPr>
          <w:tblCellSpacing w:w="15" w:type="dxa"/>
        </w:trPr>
        <w:tc>
          <w:tcPr>
            <w:tcW w:w="180" w:type="dxa"/>
            <w:hideMark/>
          </w:tcPr>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p>
        </w:tc>
        <w:tc>
          <w:tcPr>
            <w:tcW w:w="120" w:type="dxa"/>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sz w:val="24"/>
                <w:szCs w:val="24"/>
                <w:lang w:eastAsia="cs-CZ"/>
              </w:rPr>
              <w:t>•</w:t>
            </w:r>
          </w:p>
        </w:tc>
        <w:tc>
          <w:tcPr>
            <w:tcW w:w="0" w:type="auto"/>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b/>
                <w:bCs/>
                <w:sz w:val="24"/>
                <w:szCs w:val="24"/>
                <w:lang w:eastAsia="cs-CZ"/>
              </w:rPr>
              <w:t>okamžitě se ukryjte</w:t>
            </w:r>
            <w:r w:rsidRPr="003C61F7">
              <w:rPr>
                <w:rFonts w:ascii="Arial CE" w:eastAsia="Times New Roman" w:hAnsi="Arial CE" w:cs="Arial CE"/>
                <w:sz w:val="24"/>
                <w:szCs w:val="24"/>
                <w:lang w:eastAsia="cs-CZ"/>
              </w:rPr>
              <w:t> - vyhledejte úkryt v nejbližší budově (úkrytem může být výrobní závod, úřad, kancelář, obchod, veřejná budova i soukromý dům, byt), - jestliže cestujete automobilem a uslyšíte varovný signál, zaparkujte automobil a vyhledejte úkryt v nejbližší budově,</w:t>
            </w:r>
          </w:p>
        </w:tc>
      </w:tr>
      <w:tr w:rsidR="003C61F7" w:rsidRPr="003C61F7" w:rsidTr="003C61F7">
        <w:trPr>
          <w:tblCellSpacing w:w="15" w:type="dxa"/>
        </w:trPr>
        <w:tc>
          <w:tcPr>
            <w:tcW w:w="180" w:type="dxa"/>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p>
        </w:tc>
        <w:tc>
          <w:tcPr>
            <w:tcW w:w="120" w:type="dxa"/>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sz w:val="24"/>
                <w:szCs w:val="24"/>
                <w:lang w:eastAsia="cs-CZ"/>
              </w:rPr>
              <w:t>•</w:t>
            </w:r>
          </w:p>
        </w:tc>
        <w:tc>
          <w:tcPr>
            <w:tcW w:w="0" w:type="auto"/>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b/>
                <w:bCs/>
                <w:sz w:val="24"/>
                <w:szCs w:val="24"/>
                <w:lang w:eastAsia="cs-CZ"/>
              </w:rPr>
              <w:t>zavřete dveře a okna</w:t>
            </w:r>
            <w:r w:rsidRPr="003C61F7">
              <w:rPr>
                <w:rFonts w:ascii="Arial CE" w:eastAsia="Times New Roman" w:hAnsi="Arial CE" w:cs="Arial CE"/>
                <w:sz w:val="24"/>
                <w:szCs w:val="24"/>
                <w:lang w:eastAsia="cs-CZ"/>
              </w:rPr>
              <w:t> - dveře a okna se zavírají proto, že siréna může s velkou pravděpodobností signalizovat únik toxických látek, plynů, jedů nebo radioaktivních látek; uzavřením prostoru snížíte pravděpodobnost vlastního poškození zdraví,</w:t>
            </w:r>
          </w:p>
        </w:tc>
      </w:tr>
      <w:tr w:rsidR="003C61F7" w:rsidRPr="003C61F7" w:rsidTr="003C61F7">
        <w:trPr>
          <w:tblCellSpacing w:w="15" w:type="dxa"/>
        </w:trPr>
        <w:tc>
          <w:tcPr>
            <w:tcW w:w="180" w:type="dxa"/>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p>
        </w:tc>
        <w:tc>
          <w:tcPr>
            <w:tcW w:w="120" w:type="dxa"/>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sz w:val="24"/>
                <w:szCs w:val="24"/>
                <w:lang w:eastAsia="cs-CZ"/>
              </w:rPr>
              <w:t>•</w:t>
            </w:r>
          </w:p>
        </w:tc>
        <w:tc>
          <w:tcPr>
            <w:tcW w:w="0" w:type="auto"/>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b/>
                <w:bCs/>
                <w:sz w:val="24"/>
                <w:szCs w:val="24"/>
                <w:lang w:eastAsia="cs-CZ"/>
              </w:rPr>
              <w:t>zapněte rádio nebo televizi</w:t>
            </w:r>
            <w:r w:rsidRPr="003C61F7">
              <w:rPr>
                <w:rFonts w:ascii="Arial CE" w:eastAsia="Times New Roman" w:hAnsi="Arial CE" w:cs="Arial CE"/>
                <w:sz w:val="24"/>
                <w:szCs w:val="24"/>
                <w:lang w:eastAsia="cs-CZ"/>
              </w:rPr>
              <w:t> - zde se dozvíte informace o tom, co se stalo, proč byla spuštěna siréna a varováno obyvatelstvo a co máte dělat, - tyto informace mohou být sděleny i obecním rozhlasem, popř. elektronickými (tzv. "mluvícími") sirénami.</w:t>
            </w:r>
          </w:p>
        </w:tc>
      </w:tr>
    </w:tbl>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07. Jakým způsobem můžete zahájit řešení životní situace</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Nacházíte-li se doma a uslyšíte varovný signál "Všeobecná výstraha":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
        <w:gridCol w:w="150"/>
        <w:gridCol w:w="15329"/>
      </w:tblGrid>
      <w:tr w:rsidR="003C61F7" w:rsidRPr="003C61F7" w:rsidTr="003C61F7">
        <w:trPr>
          <w:tblCellSpacing w:w="15" w:type="dxa"/>
        </w:trPr>
        <w:tc>
          <w:tcPr>
            <w:tcW w:w="180" w:type="dxa"/>
            <w:hideMark/>
          </w:tcPr>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p>
        </w:tc>
        <w:tc>
          <w:tcPr>
            <w:tcW w:w="120" w:type="dxa"/>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sz w:val="24"/>
                <w:szCs w:val="24"/>
                <w:lang w:eastAsia="cs-CZ"/>
              </w:rPr>
              <w:t>•</w:t>
            </w:r>
          </w:p>
        </w:tc>
        <w:tc>
          <w:tcPr>
            <w:tcW w:w="0" w:type="auto"/>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sz w:val="24"/>
                <w:szCs w:val="24"/>
                <w:lang w:eastAsia="cs-CZ"/>
              </w:rPr>
              <w:t>zavřete okna a dveře,</w:t>
            </w:r>
          </w:p>
        </w:tc>
      </w:tr>
      <w:tr w:rsidR="003C61F7" w:rsidRPr="003C61F7" w:rsidTr="003C61F7">
        <w:trPr>
          <w:tblCellSpacing w:w="15" w:type="dxa"/>
        </w:trPr>
        <w:tc>
          <w:tcPr>
            <w:tcW w:w="180" w:type="dxa"/>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p>
        </w:tc>
        <w:tc>
          <w:tcPr>
            <w:tcW w:w="120" w:type="dxa"/>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sz w:val="24"/>
                <w:szCs w:val="24"/>
                <w:lang w:eastAsia="cs-CZ"/>
              </w:rPr>
              <w:t>•</w:t>
            </w:r>
          </w:p>
        </w:tc>
        <w:tc>
          <w:tcPr>
            <w:tcW w:w="0" w:type="auto"/>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sz w:val="24"/>
                <w:szCs w:val="24"/>
                <w:lang w:eastAsia="cs-CZ"/>
              </w:rPr>
              <w:t>zapněte rádio nebo televizi.</w:t>
            </w:r>
          </w:p>
        </w:tc>
      </w:tr>
    </w:tbl>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Nacházíte-li se venku a uslyšíte varovný signál "Všeobecná výstraha":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
        <w:gridCol w:w="150"/>
        <w:gridCol w:w="15329"/>
      </w:tblGrid>
      <w:tr w:rsidR="003C61F7" w:rsidRPr="003C61F7" w:rsidTr="003C61F7">
        <w:trPr>
          <w:tblCellSpacing w:w="15" w:type="dxa"/>
        </w:trPr>
        <w:tc>
          <w:tcPr>
            <w:tcW w:w="180" w:type="dxa"/>
            <w:hideMark/>
          </w:tcPr>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p>
        </w:tc>
        <w:tc>
          <w:tcPr>
            <w:tcW w:w="120" w:type="dxa"/>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sz w:val="24"/>
                <w:szCs w:val="24"/>
                <w:lang w:eastAsia="cs-CZ"/>
              </w:rPr>
              <w:t>•</w:t>
            </w:r>
          </w:p>
        </w:tc>
        <w:tc>
          <w:tcPr>
            <w:tcW w:w="0" w:type="auto"/>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sz w:val="24"/>
                <w:szCs w:val="24"/>
                <w:lang w:eastAsia="cs-CZ"/>
              </w:rPr>
              <w:t>vejděte do nejbližší budovy a požádejte majitele o úkryt.</w:t>
            </w:r>
          </w:p>
        </w:tc>
      </w:tr>
    </w:tbl>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Úkryt opusťte až tehdy, když pominou důvody k ukrývání. O tom se dozvíte opět z rádia, televize nebo místního rozhlasu.</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08. Na které instituci životní situaci řešit</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Občan získá informace o charakteru možného ohrožení, o připravených záchranných a likvidačních pracích a ochraně obyvatelstva v případě vzniku mimořádné události na příslušném obecním úřadě (obecním úřadě obce s rozšířenou působností).</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Zaměstnanec získá informace o charakteru možného ohrožení, o připravených záchranných a likvidačních pracích a ochraně obyvatelstva v místě dislokace pracoviště od svého zaměstnavatele (příslušné právnické osoby nebo podnikající fyzické osoby).</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Právnická osoba nebo podnikající fyzická osoba získá informace o charakteru možného ohrožení, o připravených krizových opatřeních a způsobech jejich provedení u příslušného obecního úřadu.</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Výše uvedené informace můžete získat také u jednotek </w:t>
      </w:r>
      <w:hyperlink r:id="rId4" w:history="1">
        <w:r w:rsidRPr="003C61F7">
          <w:rPr>
            <w:rFonts w:ascii="Arial CE" w:eastAsia="Times New Roman" w:hAnsi="Arial CE" w:cs="Arial CE"/>
            <w:color w:val="0000FF"/>
            <w:sz w:val="24"/>
            <w:szCs w:val="24"/>
            <w:u w:val="single"/>
            <w:lang w:eastAsia="cs-CZ"/>
          </w:rPr>
          <w:t>Hasičského záchranného sboru ČR</w:t>
        </w:r>
      </w:hyperlink>
      <w:r w:rsidRPr="003C61F7">
        <w:rPr>
          <w:rFonts w:ascii="Arial CE" w:eastAsia="Times New Roman" w:hAnsi="Arial CE" w:cs="Arial CE"/>
          <w:color w:val="1E2D3C"/>
          <w:sz w:val="24"/>
          <w:szCs w:val="24"/>
          <w:lang w:eastAsia="cs-CZ"/>
        </w:rPr>
        <w:t>.</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09. Kde, s kým a kdy životní situaci řešit</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Obraťte se s dotazy u malých obcí na starostu obce nebo u větších obcí na oddělení krizového řízení městského úřadu nebo obecního úřadu s rozšířenou působností.</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Obrátit se můžete také na stanici Hasičského záchranného sboru ČR, na odbor ochrany obyvatelstva hasičského záchranného sboru kraje nebo na jeho územní odbor, který je dislokován zpravidla v obci s rozšířenou působností.</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10. Jaké doklady je nutné mít s sebou</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Žádné dokumenty nejsou stanoveny.</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lastRenderedPageBreak/>
        <w:t>11. Jaké jsou potřebné formuláře a kde jsou k dispozici</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Předepsané formuláře nejsou stanoveny.</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12. Jaké jsou poplatky a jak je lze uhradit</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Správní ani jiné poplatky nejsou stanoveny.</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13. Jaké jsou lhůty pro vyřízení</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Lhůty pro vyřízení nejsou stanoveny.</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14. Kteří jsou další účastníci (dotčení) řešení životní situace</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Zaměstnavatelé - poskytují informace svým zaměstnancům.</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15. Jaké další činnosti jsou po žadateli požadovány</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Další činnosti nejsou stanoveny.</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16. Elektronická služba, kterou lze využít</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Informace, týkající se ochrany obyvatelstva v případě mimořádných událostí a krizových situací, jsou publikovány na </w:t>
      </w:r>
      <w:hyperlink r:id="rId5" w:history="1">
        <w:r w:rsidRPr="003C61F7">
          <w:rPr>
            <w:rFonts w:ascii="Arial CE" w:eastAsia="Times New Roman" w:hAnsi="Arial CE" w:cs="Arial CE"/>
            <w:color w:val="0000FF"/>
            <w:sz w:val="24"/>
            <w:szCs w:val="24"/>
            <w:u w:val="single"/>
            <w:lang w:eastAsia="cs-CZ"/>
          </w:rPr>
          <w:t>internetových stránkách Hasičského záchranného sboru ČR</w:t>
        </w:r>
      </w:hyperlink>
      <w:r w:rsidRPr="003C61F7">
        <w:rPr>
          <w:rFonts w:ascii="Arial CE" w:eastAsia="Times New Roman" w:hAnsi="Arial CE" w:cs="Arial CE"/>
          <w:color w:val="1E2D3C"/>
          <w:sz w:val="24"/>
          <w:szCs w:val="24"/>
          <w:lang w:eastAsia="cs-CZ"/>
        </w:rPr>
        <w:t>.</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Každý hasičský záchranný sbor kraje má také svou internetovou stránku s příslušnými informacemi. Na těchto stránkách jsou zveřejněny i e-mailové adresy, na které můžete zaslat dotaz a požádat o odpověď.</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17. Podle kterého právního předpisu se postupuje</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hyperlink r:id="rId6" w:history="1">
        <w:r w:rsidRPr="003C61F7">
          <w:rPr>
            <w:rFonts w:ascii="Arial CE" w:eastAsia="Times New Roman" w:hAnsi="Arial CE" w:cs="Arial CE"/>
            <w:color w:val="0000FF"/>
            <w:sz w:val="24"/>
            <w:szCs w:val="24"/>
            <w:u w:val="single"/>
            <w:lang w:eastAsia="cs-CZ"/>
          </w:rPr>
          <w:t>Zákon č. 239/2000 Sb., o integrovaném záchranném systému a o změně některých zákonů</w:t>
        </w:r>
      </w:hyperlink>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hyperlink r:id="rId7" w:history="1">
        <w:r w:rsidRPr="003C61F7">
          <w:rPr>
            <w:rFonts w:ascii="Arial CE" w:eastAsia="Times New Roman" w:hAnsi="Arial CE" w:cs="Arial CE"/>
            <w:color w:val="0000FF"/>
            <w:sz w:val="24"/>
            <w:szCs w:val="24"/>
            <w:u w:val="single"/>
            <w:lang w:eastAsia="cs-CZ"/>
          </w:rPr>
          <w:t>Zákon č. 240/2000 Sb., o krizovém řízení a o změně některých zákonů (krizový zákon)</w:t>
        </w:r>
      </w:hyperlink>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18. Jaké jsou související předpisy</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hyperlink r:id="rId8" w:history="1">
        <w:r w:rsidRPr="003C61F7">
          <w:rPr>
            <w:rFonts w:ascii="Arial CE" w:eastAsia="Times New Roman" w:hAnsi="Arial CE" w:cs="Arial CE"/>
            <w:color w:val="0000FF"/>
            <w:sz w:val="24"/>
            <w:szCs w:val="24"/>
            <w:u w:val="single"/>
            <w:lang w:eastAsia="cs-CZ"/>
          </w:rPr>
          <w:t>Vyhláška č. 380/2002 Sb., k přípravě a provádění úkolů ochrany obyvatelstva</w:t>
        </w:r>
      </w:hyperlink>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19. Jaké jsou opravné prostředky a jak se uplatňují</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lastRenderedPageBreak/>
        <w:t>Opravné prostředky jsou řešeny v souladu se správním řádem. Lhůta pro vyřízení žádosti je 30 dnů.</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20. Jaké sankce mohou být uplatněny v případě nedodržení povinností</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Sankce nejsou stanoveny.</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22. Další informace</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Můžete se obrátit na: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
        <w:gridCol w:w="150"/>
        <w:gridCol w:w="15329"/>
      </w:tblGrid>
      <w:tr w:rsidR="003C61F7" w:rsidRPr="003C61F7" w:rsidTr="003C61F7">
        <w:trPr>
          <w:tblCellSpacing w:w="15" w:type="dxa"/>
        </w:trPr>
        <w:tc>
          <w:tcPr>
            <w:tcW w:w="180" w:type="dxa"/>
            <w:hideMark/>
          </w:tcPr>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p>
        </w:tc>
        <w:tc>
          <w:tcPr>
            <w:tcW w:w="120" w:type="dxa"/>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sz w:val="24"/>
                <w:szCs w:val="24"/>
                <w:lang w:eastAsia="cs-CZ"/>
              </w:rPr>
              <w:t>•</w:t>
            </w:r>
          </w:p>
        </w:tc>
        <w:tc>
          <w:tcPr>
            <w:tcW w:w="0" w:type="auto"/>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sz w:val="24"/>
                <w:szCs w:val="24"/>
                <w:lang w:eastAsia="cs-CZ"/>
              </w:rPr>
              <w:t>obecní úřad obce s rozšířenou působností,</w:t>
            </w:r>
          </w:p>
        </w:tc>
      </w:tr>
      <w:tr w:rsidR="003C61F7" w:rsidRPr="003C61F7" w:rsidTr="003C61F7">
        <w:trPr>
          <w:tblCellSpacing w:w="15" w:type="dxa"/>
        </w:trPr>
        <w:tc>
          <w:tcPr>
            <w:tcW w:w="180" w:type="dxa"/>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p>
        </w:tc>
        <w:tc>
          <w:tcPr>
            <w:tcW w:w="120" w:type="dxa"/>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sz w:val="24"/>
                <w:szCs w:val="24"/>
                <w:lang w:eastAsia="cs-CZ"/>
              </w:rPr>
              <w:t>•</w:t>
            </w:r>
          </w:p>
        </w:tc>
        <w:tc>
          <w:tcPr>
            <w:tcW w:w="0" w:type="auto"/>
            <w:hideMark/>
          </w:tcPr>
          <w:p w:rsidR="003C61F7" w:rsidRPr="003C61F7" w:rsidRDefault="003C61F7" w:rsidP="003C61F7">
            <w:pPr>
              <w:spacing w:before="120" w:after="120" w:line="240" w:lineRule="auto"/>
              <w:rPr>
                <w:rFonts w:ascii="Arial CE" w:eastAsia="Times New Roman" w:hAnsi="Arial CE" w:cs="Arial CE"/>
                <w:sz w:val="24"/>
                <w:szCs w:val="24"/>
                <w:lang w:eastAsia="cs-CZ"/>
              </w:rPr>
            </w:pPr>
            <w:r w:rsidRPr="003C61F7">
              <w:rPr>
                <w:rFonts w:ascii="Arial CE" w:eastAsia="Times New Roman" w:hAnsi="Arial CE" w:cs="Arial CE"/>
                <w:sz w:val="24"/>
                <w:szCs w:val="24"/>
                <w:lang w:eastAsia="cs-CZ"/>
              </w:rPr>
              <w:t>hasičský záchranný sbor kraje - odbor ochrany obyvatelstva.</w:t>
            </w:r>
          </w:p>
        </w:tc>
      </w:tr>
    </w:tbl>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23. Informace o popisovaném postupu (o řešení životní situace) je možné získat také z jiných zdrojů a v jiné formě</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hyperlink r:id="rId9" w:history="1">
        <w:r w:rsidRPr="003C61F7">
          <w:rPr>
            <w:rFonts w:ascii="Arial CE" w:eastAsia="Times New Roman" w:hAnsi="Arial CE" w:cs="Arial CE"/>
            <w:color w:val="0000FF"/>
            <w:sz w:val="24"/>
            <w:szCs w:val="24"/>
            <w:u w:val="single"/>
            <w:lang w:eastAsia="cs-CZ"/>
          </w:rPr>
          <w:t>Hasičský záchranný sbor České republiky</w:t>
        </w:r>
      </w:hyperlink>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25. Za správnost návodu odpovídá útvar</w:t>
      </w:r>
    </w:p>
    <w:p w:rsidR="003C61F7" w:rsidRPr="003C61F7" w:rsidRDefault="003C61F7" w:rsidP="003C61F7">
      <w:pPr>
        <w:shd w:val="clear" w:color="auto" w:fill="FAFAFA"/>
        <w:spacing w:line="240" w:lineRule="auto"/>
        <w:rPr>
          <w:rFonts w:ascii="Arial CE" w:eastAsia="Times New Roman" w:hAnsi="Arial CE" w:cs="Arial CE"/>
          <w:color w:val="1E2D3C"/>
          <w:sz w:val="24"/>
          <w:szCs w:val="24"/>
          <w:lang w:eastAsia="cs-CZ"/>
        </w:rPr>
      </w:pPr>
      <w:r w:rsidRPr="003C61F7">
        <w:rPr>
          <w:rFonts w:ascii="Arial CE" w:eastAsia="Times New Roman" w:hAnsi="Arial CE" w:cs="Arial CE"/>
          <w:color w:val="1E2D3C"/>
          <w:sz w:val="24"/>
          <w:szCs w:val="24"/>
          <w:lang w:eastAsia="cs-CZ"/>
        </w:rPr>
        <w:t>Ministerstvo vnitra - generální ředitelství HZS ČR, odbor ochrany obyvatelstva</w:t>
      </w:r>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27. Popis je zpracován podle právního stavu ke dni</w:t>
      </w:r>
    </w:p>
    <w:p w:rsidR="003C61F7" w:rsidRPr="003C61F7" w:rsidRDefault="003C61F7" w:rsidP="003C61F7">
      <w:pPr>
        <w:shd w:val="clear" w:color="auto" w:fill="FAFAFA"/>
        <w:spacing w:line="240" w:lineRule="auto"/>
        <w:rPr>
          <w:rFonts w:ascii="Arial CE" w:eastAsia="Times New Roman" w:hAnsi="Arial CE" w:cs="Arial CE"/>
          <w:color w:val="1E2D3C"/>
          <w:sz w:val="20"/>
          <w:szCs w:val="20"/>
          <w:lang w:eastAsia="cs-CZ"/>
        </w:rPr>
      </w:pPr>
      <w:proofErr w:type="gramStart"/>
      <w:r w:rsidRPr="003C61F7">
        <w:rPr>
          <w:rFonts w:ascii="Arial CE" w:eastAsia="Times New Roman" w:hAnsi="Arial CE" w:cs="Arial CE"/>
          <w:color w:val="1E2D3C"/>
          <w:sz w:val="20"/>
          <w:szCs w:val="20"/>
          <w:lang w:eastAsia="cs-CZ"/>
        </w:rPr>
        <w:t>03.11.2004</w:t>
      </w:r>
      <w:proofErr w:type="gramEnd"/>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28. Popis byl naposledy aktualizován</w:t>
      </w:r>
    </w:p>
    <w:p w:rsidR="003C61F7" w:rsidRPr="003C61F7" w:rsidRDefault="003C61F7" w:rsidP="003C61F7">
      <w:pPr>
        <w:shd w:val="clear" w:color="auto" w:fill="FAFAFA"/>
        <w:spacing w:line="240" w:lineRule="auto"/>
        <w:rPr>
          <w:rFonts w:ascii="Arial CE" w:eastAsia="Times New Roman" w:hAnsi="Arial CE" w:cs="Arial CE"/>
          <w:color w:val="1E2D3C"/>
          <w:sz w:val="20"/>
          <w:szCs w:val="20"/>
          <w:lang w:eastAsia="cs-CZ"/>
        </w:rPr>
      </w:pPr>
      <w:proofErr w:type="gramStart"/>
      <w:r w:rsidRPr="003C61F7">
        <w:rPr>
          <w:rFonts w:ascii="Arial CE" w:eastAsia="Times New Roman" w:hAnsi="Arial CE" w:cs="Arial CE"/>
          <w:color w:val="1E2D3C"/>
          <w:sz w:val="20"/>
          <w:szCs w:val="20"/>
          <w:lang w:eastAsia="cs-CZ"/>
        </w:rPr>
        <w:t>03.11.2004</w:t>
      </w:r>
      <w:proofErr w:type="gramEnd"/>
    </w:p>
    <w:p w:rsidR="003C61F7" w:rsidRPr="003C61F7" w:rsidRDefault="003C61F7" w:rsidP="003C61F7">
      <w:pPr>
        <w:shd w:val="clear" w:color="auto" w:fill="FAFAFA"/>
        <w:spacing w:before="432" w:after="168" w:line="240" w:lineRule="auto"/>
        <w:outlineLvl w:val="2"/>
        <w:rPr>
          <w:rFonts w:ascii="Arial CE" w:eastAsia="Times New Roman" w:hAnsi="Arial CE" w:cs="Arial CE"/>
          <w:b/>
          <w:bCs/>
          <w:color w:val="1E2D3C"/>
          <w:sz w:val="24"/>
          <w:szCs w:val="24"/>
          <w:lang w:eastAsia="cs-CZ"/>
        </w:rPr>
      </w:pPr>
      <w:r w:rsidRPr="003C61F7">
        <w:rPr>
          <w:rFonts w:ascii="Arial CE" w:eastAsia="Times New Roman" w:hAnsi="Arial CE" w:cs="Arial CE"/>
          <w:b/>
          <w:bCs/>
          <w:color w:val="1E2D3C"/>
          <w:sz w:val="24"/>
          <w:szCs w:val="24"/>
          <w:lang w:eastAsia="cs-CZ"/>
        </w:rPr>
        <w:t>29. Datum konce platnosti popisu</w:t>
      </w:r>
    </w:p>
    <w:p w:rsidR="003C61F7" w:rsidRPr="003C61F7" w:rsidRDefault="003C61F7" w:rsidP="003C61F7">
      <w:pPr>
        <w:shd w:val="clear" w:color="auto" w:fill="FAFAFA"/>
        <w:spacing w:before="100" w:beforeAutospacing="1" w:after="100" w:afterAutospacing="1" w:line="240" w:lineRule="auto"/>
        <w:rPr>
          <w:rFonts w:ascii="Arial CE" w:eastAsia="Times New Roman" w:hAnsi="Arial CE" w:cs="Arial CE"/>
          <w:color w:val="1E2D3C"/>
          <w:sz w:val="20"/>
          <w:szCs w:val="20"/>
          <w:lang w:eastAsia="cs-CZ"/>
        </w:rPr>
      </w:pPr>
      <w:r w:rsidRPr="003C61F7">
        <w:rPr>
          <w:rFonts w:ascii="Arial CE" w:eastAsia="Times New Roman" w:hAnsi="Arial CE" w:cs="Arial CE"/>
          <w:color w:val="1E2D3C"/>
          <w:sz w:val="20"/>
          <w:szCs w:val="20"/>
          <w:lang w:eastAsia="cs-CZ"/>
        </w:rPr>
        <w:t>Bez časového omezení.</w:t>
      </w:r>
    </w:p>
    <w:p w:rsidR="00BE1901" w:rsidRDefault="00BE1901"/>
    <w:sectPr w:rsidR="00BE1901" w:rsidSect="00935AA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F7"/>
    <w:rsid w:val="003C61F7"/>
    <w:rsid w:val="00935AA1"/>
    <w:rsid w:val="00BE1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E3F48-5313-4427-AE21-309D3EEA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3C61F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C61F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C61F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C61F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C61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3C61F7"/>
  </w:style>
  <w:style w:type="character" w:styleId="Hypertextovodkaz">
    <w:name w:val="Hyperlink"/>
    <w:basedOn w:val="Standardnpsmoodstavce"/>
    <w:uiPriority w:val="99"/>
    <w:semiHidden/>
    <w:unhideWhenUsed/>
    <w:rsid w:val="003C6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1415">
      <w:bodyDiv w:val="1"/>
      <w:marLeft w:val="0"/>
      <w:marRight w:val="0"/>
      <w:marTop w:val="0"/>
      <w:marBottom w:val="0"/>
      <w:divBdr>
        <w:top w:val="none" w:sz="0" w:space="0" w:color="auto"/>
        <w:left w:val="none" w:sz="0" w:space="0" w:color="auto"/>
        <w:bottom w:val="none" w:sz="0" w:space="0" w:color="auto"/>
        <w:right w:val="none" w:sz="0" w:space="0" w:color="auto"/>
      </w:divBdr>
      <w:divsChild>
        <w:div w:id="1450784715">
          <w:marLeft w:val="0"/>
          <w:marRight w:val="0"/>
          <w:marTop w:val="0"/>
          <w:marBottom w:val="0"/>
          <w:divBdr>
            <w:top w:val="none" w:sz="0" w:space="0" w:color="auto"/>
            <w:left w:val="none" w:sz="0" w:space="0" w:color="auto"/>
            <w:bottom w:val="none" w:sz="0" w:space="0" w:color="auto"/>
            <w:right w:val="none" w:sz="0" w:space="0" w:color="auto"/>
          </w:divBdr>
          <w:divsChild>
            <w:div w:id="273100428">
              <w:marLeft w:val="0"/>
              <w:marRight w:val="0"/>
              <w:marTop w:val="0"/>
              <w:marBottom w:val="0"/>
              <w:divBdr>
                <w:top w:val="none" w:sz="0" w:space="0" w:color="auto"/>
                <w:left w:val="none" w:sz="0" w:space="0" w:color="auto"/>
                <w:bottom w:val="none" w:sz="0" w:space="0" w:color="auto"/>
                <w:right w:val="none" w:sz="0" w:space="0" w:color="auto"/>
              </w:divBdr>
              <w:divsChild>
                <w:div w:id="1927300969">
                  <w:marLeft w:val="0"/>
                  <w:marRight w:val="0"/>
                  <w:marTop w:val="0"/>
                  <w:marBottom w:val="0"/>
                  <w:divBdr>
                    <w:top w:val="none" w:sz="0" w:space="0" w:color="auto"/>
                    <w:left w:val="none" w:sz="0" w:space="0" w:color="auto"/>
                    <w:bottom w:val="none" w:sz="0" w:space="0" w:color="auto"/>
                    <w:right w:val="none" w:sz="0" w:space="0" w:color="auto"/>
                  </w:divBdr>
                </w:div>
                <w:div w:id="501745657">
                  <w:marLeft w:val="0"/>
                  <w:marRight w:val="0"/>
                  <w:marTop w:val="240"/>
                  <w:marBottom w:val="0"/>
                  <w:divBdr>
                    <w:top w:val="none" w:sz="0" w:space="0" w:color="auto"/>
                    <w:left w:val="none" w:sz="0" w:space="0" w:color="auto"/>
                    <w:bottom w:val="none" w:sz="0" w:space="0" w:color="auto"/>
                    <w:right w:val="none" w:sz="0" w:space="0" w:color="auto"/>
                  </w:divBdr>
                </w:div>
                <w:div w:id="1880166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4792850">
          <w:marLeft w:val="0"/>
          <w:marRight w:val="0"/>
          <w:marTop w:val="0"/>
          <w:marBottom w:val="0"/>
          <w:divBdr>
            <w:top w:val="none" w:sz="0" w:space="0" w:color="auto"/>
            <w:left w:val="none" w:sz="0" w:space="0" w:color="auto"/>
            <w:bottom w:val="none" w:sz="0" w:space="0" w:color="auto"/>
            <w:right w:val="none" w:sz="0" w:space="0" w:color="auto"/>
          </w:divBdr>
          <w:divsChild>
            <w:div w:id="2069065828">
              <w:marLeft w:val="0"/>
              <w:marRight w:val="0"/>
              <w:marTop w:val="0"/>
              <w:marBottom w:val="0"/>
              <w:divBdr>
                <w:top w:val="none" w:sz="0" w:space="0" w:color="auto"/>
                <w:left w:val="none" w:sz="0" w:space="0" w:color="auto"/>
                <w:bottom w:val="none" w:sz="0" w:space="0" w:color="auto"/>
                <w:right w:val="none" w:sz="0" w:space="0" w:color="auto"/>
              </w:divBdr>
              <w:divsChild>
                <w:div w:id="18794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0300">
          <w:marLeft w:val="0"/>
          <w:marRight w:val="0"/>
          <w:marTop w:val="0"/>
          <w:marBottom w:val="0"/>
          <w:divBdr>
            <w:top w:val="none" w:sz="0" w:space="0" w:color="auto"/>
            <w:left w:val="none" w:sz="0" w:space="0" w:color="auto"/>
            <w:bottom w:val="none" w:sz="0" w:space="0" w:color="auto"/>
            <w:right w:val="none" w:sz="0" w:space="0" w:color="auto"/>
          </w:divBdr>
          <w:divsChild>
            <w:div w:id="1478109515">
              <w:marLeft w:val="0"/>
              <w:marRight w:val="0"/>
              <w:marTop w:val="0"/>
              <w:marBottom w:val="0"/>
              <w:divBdr>
                <w:top w:val="none" w:sz="0" w:space="0" w:color="auto"/>
                <w:left w:val="none" w:sz="0" w:space="0" w:color="auto"/>
                <w:bottom w:val="none" w:sz="0" w:space="0" w:color="auto"/>
                <w:right w:val="none" w:sz="0" w:space="0" w:color="auto"/>
              </w:divBdr>
              <w:divsChild>
                <w:div w:id="1379547843">
                  <w:marLeft w:val="0"/>
                  <w:marRight w:val="0"/>
                  <w:marTop w:val="0"/>
                  <w:marBottom w:val="0"/>
                  <w:divBdr>
                    <w:top w:val="none" w:sz="0" w:space="0" w:color="auto"/>
                    <w:left w:val="none" w:sz="0" w:space="0" w:color="auto"/>
                    <w:bottom w:val="none" w:sz="0" w:space="0" w:color="auto"/>
                    <w:right w:val="none" w:sz="0" w:space="0" w:color="auto"/>
                  </w:divBdr>
                  <w:divsChild>
                    <w:div w:id="1263144793">
                      <w:marLeft w:val="0"/>
                      <w:marRight w:val="0"/>
                      <w:marTop w:val="0"/>
                      <w:marBottom w:val="0"/>
                      <w:divBdr>
                        <w:top w:val="none" w:sz="0" w:space="0" w:color="auto"/>
                        <w:left w:val="none" w:sz="0" w:space="0" w:color="auto"/>
                        <w:bottom w:val="none" w:sz="0" w:space="0" w:color="auto"/>
                        <w:right w:val="none" w:sz="0" w:space="0" w:color="auto"/>
                      </w:divBdr>
                      <w:divsChild>
                        <w:div w:id="1470516866">
                          <w:marLeft w:val="0"/>
                          <w:marRight w:val="0"/>
                          <w:marTop w:val="0"/>
                          <w:marBottom w:val="0"/>
                          <w:divBdr>
                            <w:top w:val="none" w:sz="0" w:space="0" w:color="auto"/>
                            <w:left w:val="none" w:sz="0" w:space="0" w:color="auto"/>
                            <w:bottom w:val="none" w:sz="0" w:space="0" w:color="auto"/>
                            <w:right w:val="none" w:sz="0" w:space="0" w:color="auto"/>
                          </w:divBdr>
                        </w:div>
                        <w:div w:id="1945111672">
                          <w:marLeft w:val="0"/>
                          <w:marRight w:val="0"/>
                          <w:marTop w:val="0"/>
                          <w:marBottom w:val="0"/>
                          <w:divBdr>
                            <w:top w:val="none" w:sz="0" w:space="0" w:color="auto"/>
                            <w:left w:val="none" w:sz="0" w:space="0" w:color="auto"/>
                            <w:bottom w:val="none" w:sz="0" w:space="0" w:color="auto"/>
                            <w:right w:val="none" w:sz="0" w:space="0" w:color="auto"/>
                          </w:divBdr>
                        </w:div>
                        <w:div w:id="16055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27257">
          <w:marLeft w:val="0"/>
          <w:marRight w:val="0"/>
          <w:marTop w:val="0"/>
          <w:marBottom w:val="0"/>
          <w:divBdr>
            <w:top w:val="none" w:sz="0" w:space="0" w:color="auto"/>
            <w:left w:val="none" w:sz="0" w:space="0" w:color="auto"/>
            <w:bottom w:val="none" w:sz="0" w:space="0" w:color="auto"/>
            <w:right w:val="none" w:sz="0" w:space="0" w:color="auto"/>
          </w:divBdr>
          <w:divsChild>
            <w:div w:id="723217115">
              <w:marLeft w:val="0"/>
              <w:marRight w:val="0"/>
              <w:marTop w:val="0"/>
              <w:marBottom w:val="0"/>
              <w:divBdr>
                <w:top w:val="none" w:sz="0" w:space="0" w:color="auto"/>
                <w:left w:val="none" w:sz="0" w:space="0" w:color="auto"/>
                <w:bottom w:val="none" w:sz="0" w:space="0" w:color="auto"/>
                <w:right w:val="none" w:sz="0" w:space="0" w:color="auto"/>
              </w:divBdr>
              <w:divsChild>
                <w:div w:id="1382175504">
                  <w:marLeft w:val="0"/>
                  <w:marRight w:val="0"/>
                  <w:marTop w:val="0"/>
                  <w:marBottom w:val="0"/>
                  <w:divBdr>
                    <w:top w:val="none" w:sz="0" w:space="0" w:color="auto"/>
                    <w:left w:val="none" w:sz="0" w:space="0" w:color="auto"/>
                    <w:bottom w:val="none" w:sz="0" w:space="0" w:color="auto"/>
                    <w:right w:val="none" w:sz="0" w:space="0" w:color="auto"/>
                  </w:divBdr>
                  <w:divsChild>
                    <w:div w:id="1215581135">
                      <w:marLeft w:val="0"/>
                      <w:marRight w:val="0"/>
                      <w:marTop w:val="0"/>
                      <w:marBottom w:val="0"/>
                      <w:divBdr>
                        <w:top w:val="none" w:sz="0" w:space="0" w:color="auto"/>
                        <w:left w:val="none" w:sz="0" w:space="0" w:color="auto"/>
                        <w:bottom w:val="none" w:sz="0" w:space="0" w:color="auto"/>
                        <w:right w:val="none" w:sz="0" w:space="0" w:color="auto"/>
                      </w:divBdr>
                      <w:divsChild>
                        <w:div w:id="267392017">
                          <w:marLeft w:val="0"/>
                          <w:marRight w:val="0"/>
                          <w:marTop w:val="0"/>
                          <w:marBottom w:val="0"/>
                          <w:divBdr>
                            <w:top w:val="none" w:sz="0" w:space="0" w:color="auto"/>
                            <w:left w:val="none" w:sz="0" w:space="0" w:color="auto"/>
                            <w:bottom w:val="none" w:sz="0" w:space="0" w:color="auto"/>
                            <w:right w:val="none" w:sz="0" w:space="0" w:color="auto"/>
                          </w:divBdr>
                        </w:div>
                        <w:div w:id="13053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2993">
                  <w:marLeft w:val="0"/>
                  <w:marRight w:val="0"/>
                  <w:marTop w:val="240"/>
                  <w:marBottom w:val="0"/>
                  <w:divBdr>
                    <w:top w:val="none" w:sz="0" w:space="0" w:color="auto"/>
                    <w:left w:val="none" w:sz="0" w:space="0" w:color="auto"/>
                    <w:bottom w:val="none" w:sz="0" w:space="0" w:color="auto"/>
                    <w:right w:val="none" w:sz="0" w:space="0" w:color="auto"/>
                  </w:divBdr>
                  <w:divsChild>
                    <w:div w:id="1558316486">
                      <w:marLeft w:val="0"/>
                      <w:marRight w:val="0"/>
                      <w:marTop w:val="0"/>
                      <w:marBottom w:val="0"/>
                      <w:divBdr>
                        <w:top w:val="none" w:sz="0" w:space="0" w:color="auto"/>
                        <w:left w:val="none" w:sz="0" w:space="0" w:color="auto"/>
                        <w:bottom w:val="none" w:sz="0" w:space="0" w:color="auto"/>
                        <w:right w:val="none" w:sz="0" w:space="0" w:color="auto"/>
                      </w:divBdr>
                      <w:divsChild>
                        <w:div w:id="6581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3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7170849">
          <w:marLeft w:val="0"/>
          <w:marRight w:val="0"/>
          <w:marTop w:val="0"/>
          <w:marBottom w:val="0"/>
          <w:divBdr>
            <w:top w:val="none" w:sz="0" w:space="0" w:color="auto"/>
            <w:left w:val="none" w:sz="0" w:space="0" w:color="auto"/>
            <w:bottom w:val="none" w:sz="0" w:space="0" w:color="auto"/>
            <w:right w:val="none" w:sz="0" w:space="0" w:color="auto"/>
          </w:divBdr>
          <w:divsChild>
            <w:div w:id="627857031">
              <w:marLeft w:val="0"/>
              <w:marRight w:val="0"/>
              <w:marTop w:val="0"/>
              <w:marBottom w:val="0"/>
              <w:divBdr>
                <w:top w:val="none" w:sz="0" w:space="0" w:color="auto"/>
                <w:left w:val="none" w:sz="0" w:space="0" w:color="auto"/>
                <w:bottom w:val="none" w:sz="0" w:space="0" w:color="auto"/>
                <w:right w:val="none" w:sz="0" w:space="0" w:color="auto"/>
              </w:divBdr>
              <w:divsChild>
                <w:div w:id="1058896647">
                  <w:marLeft w:val="0"/>
                  <w:marRight w:val="0"/>
                  <w:marTop w:val="0"/>
                  <w:marBottom w:val="0"/>
                  <w:divBdr>
                    <w:top w:val="none" w:sz="0" w:space="0" w:color="auto"/>
                    <w:left w:val="none" w:sz="0" w:space="0" w:color="auto"/>
                    <w:bottom w:val="none" w:sz="0" w:space="0" w:color="auto"/>
                    <w:right w:val="none" w:sz="0" w:space="0" w:color="auto"/>
                  </w:divBdr>
                </w:div>
                <w:div w:id="1713651004">
                  <w:marLeft w:val="0"/>
                  <w:marRight w:val="0"/>
                  <w:marTop w:val="240"/>
                  <w:marBottom w:val="0"/>
                  <w:divBdr>
                    <w:top w:val="none" w:sz="0" w:space="0" w:color="auto"/>
                    <w:left w:val="none" w:sz="0" w:space="0" w:color="auto"/>
                    <w:bottom w:val="none" w:sz="0" w:space="0" w:color="auto"/>
                    <w:right w:val="none" w:sz="0" w:space="0" w:color="auto"/>
                  </w:divBdr>
                </w:div>
                <w:div w:id="1286501472">
                  <w:marLeft w:val="0"/>
                  <w:marRight w:val="0"/>
                  <w:marTop w:val="240"/>
                  <w:marBottom w:val="0"/>
                  <w:divBdr>
                    <w:top w:val="none" w:sz="0" w:space="0" w:color="auto"/>
                    <w:left w:val="none" w:sz="0" w:space="0" w:color="auto"/>
                    <w:bottom w:val="none" w:sz="0" w:space="0" w:color="auto"/>
                    <w:right w:val="none" w:sz="0" w:space="0" w:color="auto"/>
                  </w:divBdr>
                </w:div>
                <w:div w:id="1153595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4731075">
          <w:marLeft w:val="0"/>
          <w:marRight w:val="0"/>
          <w:marTop w:val="0"/>
          <w:marBottom w:val="0"/>
          <w:divBdr>
            <w:top w:val="none" w:sz="0" w:space="0" w:color="auto"/>
            <w:left w:val="none" w:sz="0" w:space="0" w:color="auto"/>
            <w:bottom w:val="none" w:sz="0" w:space="0" w:color="auto"/>
            <w:right w:val="none" w:sz="0" w:space="0" w:color="auto"/>
          </w:divBdr>
          <w:divsChild>
            <w:div w:id="1740397070">
              <w:marLeft w:val="0"/>
              <w:marRight w:val="0"/>
              <w:marTop w:val="0"/>
              <w:marBottom w:val="0"/>
              <w:divBdr>
                <w:top w:val="none" w:sz="0" w:space="0" w:color="auto"/>
                <w:left w:val="none" w:sz="0" w:space="0" w:color="auto"/>
                <w:bottom w:val="none" w:sz="0" w:space="0" w:color="auto"/>
                <w:right w:val="none" w:sz="0" w:space="0" w:color="auto"/>
              </w:divBdr>
              <w:divsChild>
                <w:div w:id="881163559">
                  <w:marLeft w:val="0"/>
                  <w:marRight w:val="0"/>
                  <w:marTop w:val="0"/>
                  <w:marBottom w:val="0"/>
                  <w:divBdr>
                    <w:top w:val="none" w:sz="0" w:space="0" w:color="auto"/>
                    <w:left w:val="none" w:sz="0" w:space="0" w:color="auto"/>
                    <w:bottom w:val="none" w:sz="0" w:space="0" w:color="auto"/>
                    <w:right w:val="none" w:sz="0" w:space="0" w:color="auto"/>
                  </w:divBdr>
                </w:div>
                <w:div w:id="2121410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0922226">
          <w:marLeft w:val="0"/>
          <w:marRight w:val="0"/>
          <w:marTop w:val="0"/>
          <w:marBottom w:val="0"/>
          <w:divBdr>
            <w:top w:val="none" w:sz="0" w:space="0" w:color="auto"/>
            <w:left w:val="none" w:sz="0" w:space="0" w:color="auto"/>
            <w:bottom w:val="none" w:sz="0" w:space="0" w:color="auto"/>
            <w:right w:val="none" w:sz="0" w:space="0" w:color="auto"/>
          </w:divBdr>
          <w:divsChild>
            <w:div w:id="1570651983">
              <w:marLeft w:val="0"/>
              <w:marRight w:val="0"/>
              <w:marTop w:val="0"/>
              <w:marBottom w:val="0"/>
              <w:divBdr>
                <w:top w:val="none" w:sz="0" w:space="0" w:color="auto"/>
                <w:left w:val="none" w:sz="0" w:space="0" w:color="auto"/>
                <w:bottom w:val="none" w:sz="0" w:space="0" w:color="auto"/>
                <w:right w:val="none" w:sz="0" w:space="0" w:color="auto"/>
              </w:divBdr>
              <w:divsChild>
                <w:div w:id="4018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2009">
          <w:marLeft w:val="0"/>
          <w:marRight w:val="0"/>
          <w:marTop w:val="0"/>
          <w:marBottom w:val="0"/>
          <w:divBdr>
            <w:top w:val="none" w:sz="0" w:space="0" w:color="auto"/>
            <w:left w:val="none" w:sz="0" w:space="0" w:color="auto"/>
            <w:bottom w:val="none" w:sz="0" w:space="0" w:color="auto"/>
            <w:right w:val="none" w:sz="0" w:space="0" w:color="auto"/>
          </w:divBdr>
          <w:divsChild>
            <w:div w:id="761295289">
              <w:marLeft w:val="0"/>
              <w:marRight w:val="0"/>
              <w:marTop w:val="0"/>
              <w:marBottom w:val="0"/>
              <w:divBdr>
                <w:top w:val="none" w:sz="0" w:space="0" w:color="auto"/>
                <w:left w:val="none" w:sz="0" w:space="0" w:color="auto"/>
                <w:bottom w:val="none" w:sz="0" w:space="0" w:color="auto"/>
                <w:right w:val="none" w:sz="0" w:space="0" w:color="auto"/>
              </w:divBdr>
              <w:divsChild>
                <w:div w:id="14400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3490">
          <w:marLeft w:val="0"/>
          <w:marRight w:val="0"/>
          <w:marTop w:val="0"/>
          <w:marBottom w:val="0"/>
          <w:divBdr>
            <w:top w:val="none" w:sz="0" w:space="0" w:color="auto"/>
            <w:left w:val="none" w:sz="0" w:space="0" w:color="auto"/>
            <w:bottom w:val="none" w:sz="0" w:space="0" w:color="auto"/>
            <w:right w:val="none" w:sz="0" w:space="0" w:color="auto"/>
          </w:divBdr>
          <w:divsChild>
            <w:div w:id="532352317">
              <w:marLeft w:val="0"/>
              <w:marRight w:val="0"/>
              <w:marTop w:val="0"/>
              <w:marBottom w:val="0"/>
              <w:divBdr>
                <w:top w:val="none" w:sz="0" w:space="0" w:color="auto"/>
                <w:left w:val="none" w:sz="0" w:space="0" w:color="auto"/>
                <w:bottom w:val="none" w:sz="0" w:space="0" w:color="auto"/>
                <w:right w:val="none" w:sz="0" w:space="0" w:color="auto"/>
              </w:divBdr>
              <w:divsChild>
                <w:div w:id="3582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2773">
          <w:marLeft w:val="0"/>
          <w:marRight w:val="0"/>
          <w:marTop w:val="0"/>
          <w:marBottom w:val="0"/>
          <w:divBdr>
            <w:top w:val="none" w:sz="0" w:space="0" w:color="auto"/>
            <w:left w:val="none" w:sz="0" w:space="0" w:color="auto"/>
            <w:bottom w:val="none" w:sz="0" w:space="0" w:color="auto"/>
            <w:right w:val="none" w:sz="0" w:space="0" w:color="auto"/>
          </w:divBdr>
          <w:divsChild>
            <w:div w:id="557135948">
              <w:marLeft w:val="0"/>
              <w:marRight w:val="0"/>
              <w:marTop w:val="0"/>
              <w:marBottom w:val="0"/>
              <w:divBdr>
                <w:top w:val="none" w:sz="0" w:space="0" w:color="auto"/>
                <w:left w:val="none" w:sz="0" w:space="0" w:color="auto"/>
                <w:bottom w:val="none" w:sz="0" w:space="0" w:color="auto"/>
                <w:right w:val="none" w:sz="0" w:space="0" w:color="auto"/>
              </w:divBdr>
              <w:divsChild>
                <w:div w:id="8666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151">
          <w:marLeft w:val="0"/>
          <w:marRight w:val="0"/>
          <w:marTop w:val="0"/>
          <w:marBottom w:val="0"/>
          <w:divBdr>
            <w:top w:val="none" w:sz="0" w:space="0" w:color="auto"/>
            <w:left w:val="none" w:sz="0" w:space="0" w:color="auto"/>
            <w:bottom w:val="none" w:sz="0" w:space="0" w:color="auto"/>
            <w:right w:val="none" w:sz="0" w:space="0" w:color="auto"/>
          </w:divBdr>
          <w:divsChild>
            <w:div w:id="1209681760">
              <w:marLeft w:val="0"/>
              <w:marRight w:val="0"/>
              <w:marTop w:val="0"/>
              <w:marBottom w:val="0"/>
              <w:divBdr>
                <w:top w:val="none" w:sz="0" w:space="0" w:color="auto"/>
                <w:left w:val="none" w:sz="0" w:space="0" w:color="auto"/>
                <w:bottom w:val="none" w:sz="0" w:space="0" w:color="auto"/>
                <w:right w:val="none" w:sz="0" w:space="0" w:color="auto"/>
              </w:divBdr>
              <w:divsChild>
                <w:div w:id="1083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523">
          <w:marLeft w:val="0"/>
          <w:marRight w:val="0"/>
          <w:marTop w:val="0"/>
          <w:marBottom w:val="0"/>
          <w:divBdr>
            <w:top w:val="none" w:sz="0" w:space="0" w:color="auto"/>
            <w:left w:val="none" w:sz="0" w:space="0" w:color="auto"/>
            <w:bottom w:val="none" w:sz="0" w:space="0" w:color="auto"/>
            <w:right w:val="none" w:sz="0" w:space="0" w:color="auto"/>
          </w:divBdr>
          <w:divsChild>
            <w:div w:id="1239949463">
              <w:marLeft w:val="0"/>
              <w:marRight w:val="0"/>
              <w:marTop w:val="0"/>
              <w:marBottom w:val="0"/>
              <w:divBdr>
                <w:top w:val="none" w:sz="0" w:space="0" w:color="auto"/>
                <w:left w:val="none" w:sz="0" w:space="0" w:color="auto"/>
                <w:bottom w:val="none" w:sz="0" w:space="0" w:color="auto"/>
                <w:right w:val="none" w:sz="0" w:space="0" w:color="auto"/>
              </w:divBdr>
              <w:divsChild>
                <w:div w:id="19071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3804">
          <w:marLeft w:val="0"/>
          <w:marRight w:val="0"/>
          <w:marTop w:val="0"/>
          <w:marBottom w:val="0"/>
          <w:divBdr>
            <w:top w:val="none" w:sz="0" w:space="0" w:color="auto"/>
            <w:left w:val="none" w:sz="0" w:space="0" w:color="auto"/>
            <w:bottom w:val="none" w:sz="0" w:space="0" w:color="auto"/>
            <w:right w:val="none" w:sz="0" w:space="0" w:color="auto"/>
          </w:divBdr>
          <w:divsChild>
            <w:div w:id="2104522278">
              <w:marLeft w:val="0"/>
              <w:marRight w:val="0"/>
              <w:marTop w:val="0"/>
              <w:marBottom w:val="0"/>
              <w:divBdr>
                <w:top w:val="none" w:sz="0" w:space="0" w:color="auto"/>
                <w:left w:val="none" w:sz="0" w:space="0" w:color="auto"/>
                <w:bottom w:val="none" w:sz="0" w:space="0" w:color="auto"/>
                <w:right w:val="none" w:sz="0" w:space="0" w:color="auto"/>
              </w:divBdr>
              <w:divsChild>
                <w:div w:id="69010713">
                  <w:marLeft w:val="0"/>
                  <w:marRight w:val="0"/>
                  <w:marTop w:val="0"/>
                  <w:marBottom w:val="0"/>
                  <w:divBdr>
                    <w:top w:val="none" w:sz="0" w:space="0" w:color="auto"/>
                    <w:left w:val="none" w:sz="0" w:space="0" w:color="auto"/>
                    <w:bottom w:val="none" w:sz="0" w:space="0" w:color="auto"/>
                    <w:right w:val="none" w:sz="0" w:space="0" w:color="auto"/>
                  </w:divBdr>
                </w:div>
                <w:div w:id="341974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7992043">
          <w:marLeft w:val="0"/>
          <w:marRight w:val="0"/>
          <w:marTop w:val="0"/>
          <w:marBottom w:val="0"/>
          <w:divBdr>
            <w:top w:val="none" w:sz="0" w:space="0" w:color="auto"/>
            <w:left w:val="none" w:sz="0" w:space="0" w:color="auto"/>
            <w:bottom w:val="none" w:sz="0" w:space="0" w:color="auto"/>
            <w:right w:val="none" w:sz="0" w:space="0" w:color="auto"/>
          </w:divBdr>
          <w:divsChild>
            <w:div w:id="1326936793">
              <w:marLeft w:val="0"/>
              <w:marRight w:val="0"/>
              <w:marTop w:val="0"/>
              <w:marBottom w:val="0"/>
              <w:divBdr>
                <w:top w:val="none" w:sz="0" w:space="0" w:color="auto"/>
                <w:left w:val="none" w:sz="0" w:space="0" w:color="auto"/>
                <w:bottom w:val="none" w:sz="0" w:space="0" w:color="auto"/>
                <w:right w:val="none" w:sz="0" w:space="0" w:color="auto"/>
              </w:divBdr>
              <w:divsChild>
                <w:div w:id="1299258576">
                  <w:marLeft w:val="0"/>
                  <w:marRight w:val="0"/>
                  <w:marTop w:val="0"/>
                  <w:marBottom w:val="0"/>
                  <w:divBdr>
                    <w:top w:val="none" w:sz="0" w:space="0" w:color="auto"/>
                    <w:left w:val="none" w:sz="0" w:space="0" w:color="auto"/>
                    <w:bottom w:val="none" w:sz="0" w:space="0" w:color="auto"/>
                    <w:right w:val="none" w:sz="0" w:space="0" w:color="auto"/>
                  </w:divBdr>
                </w:div>
                <w:div w:id="19863494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829340">
          <w:marLeft w:val="0"/>
          <w:marRight w:val="0"/>
          <w:marTop w:val="0"/>
          <w:marBottom w:val="0"/>
          <w:divBdr>
            <w:top w:val="none" w:sz="0" w:space="0" w:color="auto"/>
            <w:left w:val="none" w:sz="0" w:space="0" w:color="auto"/>
            <w:bottom w:val="none" w:sz="0" w:space="0" w:color="auto"/>
            <w:right w:val="none" w:sz="0" w:space="0" w:color="auto"/>
          </w:divBdr>
          <w:divsChild>
            <w:div w:id="102960045">
              <w:marLeft w:val="0"/>
              <w:marRight w:val="0"/>
              <w:marTop w:val="0"/>
              <w:marBottom w:val="0"/>
              <w:divBdr>
                <w:top w:val="none" w:sz="0" w:space="0" w:color="auto"/>
                <w:left w:val="none" w:sz="0" w:space="0" w:color="auto"/>
                <w:bottom w:val="none" w:sz="0" w:space="0" w:color="auto"/>
                <w:right w:val="none" w:sz="0" w:space="0" w:color="auto"/>
              </w:divBdr>
              <w:divsChild>
                <w:div w:id="17643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6223">
          <w:marLeft w:val="0"/>
          <w:marRight w:val="0"/>
          <w:marTop w:val="0"/>
          <w:marBottom w:val="0"/>
          <w:divBdr>
            <w:top w:val="none" w:sz="0" w:space="0" w:color="auto"/>
            <w:left w:val="none" w:sz="0" w:space="0" w:color="auto"/>
            <w:bottom w:val="none" w:sz="0" w:space="0" w:color="auto"/>
            <w:right w:val="none" w:sz="0" w:space="0" w:color="auto"/>
          </w:divBdr>
          <w:divsChild>
            <w:div w:id="1971665418">
              <w:marLeft w:val="0"/>
              <w:marRight w:val="0"/>
              <w:marTop w:val="0"/>
              <w:marBottom w:val="0"/>
              <w:divBdr>
                <w:top w:val="none" w:sz="0" w:space="0" w:color="auto"/>
                <w:left w:val="none" w:sz="0" w:space="0" w:color="auto"/>
                <w:bottom w:val="none" w:sz="0" w:space="0" w:color="auto"/>
                <w:right w:val="none" w:sz="0" w:space="0" w:color="auto"/>
              </w:divBdr>
              <w:divsChild>
                <w:div w:id="16646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686">
          <w:marLeft w:val="0"/>
          <w:marRight w:val="0"/>
          <w:marTop w:val="0"/>
          <w:marBottom w:val="0"/>
          <w:divBdr>
            <w:top w:val="none" w:sz="0" w:space="0" w:color="auto"/>
            <w:left w:val="none" w:sz="0" w:space="0" w:color="auto"/>
            <w:bottom w:val="none" w:sz="0" w:space="0" w:color="auto"/>
            <w:right w:val="none" w:sz="0" w:space="0" w:color="auto"/>
          </w:divBdr>
          <w:divsChild>
            <w:div w:id="1042287765">
              <w:marLeft w:val="0"/>
              <w:marRight w:val="0"/>
              <w:marTop w:val="0"/>
              <w:marBottom w:val="0"/>
              <w:divBdr>
                <w:top w:val="none" w:sz="0" w:space="0" w:color="auto"/>
                <w:left w:val="none" w:sz="0" w:space="0" w:color="auto"/>
                <w:bottom w:val="none" w:sz="0" w:space="0" w:color="auto"/>
                <w:right w:val="none" w:sz="0" w:space="0" w:color="auto"/>
              </w:divBdr>
              <w:divsChild>
                <w:div w:id="6794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02099">
          <w:marLeft w:val="0"/>
          <w:marRight w:val="0"/>
          <w:marTop w:val="0"/>
          <w:marBottom w:val="0"/>
          <w:divBdr>
            <w:top w:val="none" w:sz="0" w:space="0" w:color="auto"/>
            <w:left w:val="none" w:sz="0" w:space="0" w:color="auto"/>
            <w:bottom w:val="none" w:sz="0" w:space="0" w:color="auto"/>
            <w:right w:val="none" w:sz="0" w:space="0" w:color="auto"/>
          </w:divBdr>
          <w:divsChild>
            <w:div w:id="1636527795">
              <w:marLeft w:val="0"/>
              <w:marRight w:val="0"/>
              <w:marTop w:val="0"/>
              <w:marBottom w:val="0"/>
              <w:divBdr>
                <w:top w:val="none" w:sz="0" w:space="0" w:color="auto"/>
                <w:left w:val="none" w:sz="0" w:space="0" w:color="auto"/>
                <w:bottom w:val="none" w:sz="0" w:space="0" w:color="auto"/>
                <w:right w:val="none" w:sz="0" w:space="0" w:color="auto"/>
              </w:divBdr>
              <w:divsChild>
                <w:div w:id="752361410">
                  <w:marLeft w:val="0"/>
                  <w:marRight w:val="0"/>
                  <w:marTop w:val="0"/>
                  <w:marBottom w:val="0"/>
                  <w:divBdr>
                    <w:top w:val="none" w:sz="0" w:space="0" w:color="auto"/>
                    <w:left w:val="none" w:sz="0" w:space="0" w:color="auto"/>
                    <w:bottom w:val="none" w:sz="0" w:space="0" w:color="auto"/>
                    <w:right w:val="none" w:sz="0" w:space="0" w:color="auto"/>
                  </w:divBdr>
                  <w:divsChild>
                    <w:div w:id="1363625383">
                      <w:marLeft w:val="0"/>
                      <w:marRight w:val="0"/>
                      <w:marTop w:val="0"/>
                      <w:marBottom w:val="0"/>
                      <w:divBdr>
                        <w:top w:val="none" w:sz="0" w:space="0" w:color="auto"/>
                        <w:left w:val="none" w:sz="0" w:space="0" w:color="auto"/>
                        <w:bottom w:val="none" w:sz="0" w:space="0" w:color="auto"/>
                        <w:right w:val="none" w:sz="0" w:space="0" w:color="auto"/>
                      </w:divBdr>
                      <w:divsChild>
                        <w:div w:id="1594557729">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78687">
          <w:marLeft w:val="0"/>
          <w:marRight w:val="0"/>
          <w:marTop w:val="0"/>
          <w:marBottom w:val="0"/>
          <w:divBdr>
            <w:top w:val="none" w:sz="0" w:space="0" w:color="auto"/>
            <w:left w:val="none" w:sz="0" w:space="0" w:color="auto"/>
            <w:bottom w:val="none" w:sz="0" w:space="0" w:color="auto"/>
            <w:right w:val="none" w:sz="0" w:space="0" w:color="auto"/>
          </w:divBdr>
          <w:divsChild>
            <w:div w:id="85196959">
              <w:marLeft w:val="0"/>
              <w:marRight w:val="0"/>
              <w:marTop w:val="0"/>
              <w:marBottom w:val="0"/>
              <w:divBdr>
                <w:top w:val="none" w:sz="0" w:space="0" w:color="auto"/>
                <w:left w:val="none" w:sz="0" w:space="0" w:color="auto"/>
                <w:bottom w:val="none" w:sz="0" w:space="0" w:color="auto"/>
                <w:right w:val="none" w:sz="0" w:space="0" w:color="auto"/>
              </w:divBdr>
              <w:divsChild>
                <w:div w:id="2453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4467">
          <w:marLeft w:val="0"/>
          <w:marRight w:val="0"/>
          <w:marTop w:val="0"/>
          <w:marBottom w:val="0"/>
          <w:divBdr>
            <w:top w:val="none" w:sz="0" w:space="0" w:color="auto"/>
            <w:left w:val="none" w:sz="0" w:space="0" w:color="auto"/>
            <w:bottom w:val="none" w:sz="0" w:space="0" w:color="auto"/>
            <w:right w:val="none" w:sz="0" w:space="0" w:color="auto"/>
          </w:divBdr>
          <w:divsChild>
            <w:div w:id="1717898852">
              <w:marLeft w:val="0"/>
              <w:marRight w:val="0"/>
              <w:marTop w:val="0"/>
              <w:marBottom w:val="0"/>
              <w:divBdr>
                <w:top w:val="none" w:sz="0" w:space="0" w:color="auto"/>
                <w:left w:val="none" w:sz="0" w:space="0" w:color="auto"/>
                <w:bottom w:val="none" w:sz="0" w:space="0" w:color="auto"/>
                <w:right w:val="none" w:sz="0" w:space="0" w:color="auto"/>
              </w:divBdr>
              <w:divsChild>
                <w:div w:id="487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app/zakony/zakon?q=380/2002%20Sb." TargetMode="External"/><Relationship Id="rId3" Type="http://schemas.openxmlformats.org/officeDocument/2006/relationships/webSettings" Target="webSettings.xml"/><Relationship Id="rId7" Type="http://schemas.openxmlformats.org/officeDocument/2006/relationships/hyperlink" Target="http://portal.gov.cz/app/zakony/zakon?q=240/2000%20S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gov.cz/app/zakony/zakon?q=239/2000%20Sb." TargetMode="External"/><Relationship Id="rId11" Type="http://schemas.openxmlformats.org/officeDocument/2006/relationships/theme" Target="theme/theme1.xml"/><Relationship Id="rId5" Type="http://schemas.openxmlformats.org/officeDocument/2006/relationships/hyperlink" Target="http://www.hzscr.cz/rady-obyvatelstvu.aspx" TargetMode="External"/><Relationship Id="rId10" Type="http://schemas.openxmlformats.org/officeDocument/2006/relationships/fontTable" Target="fontTable.xml"/><Relationship Id="rId4" Type="http://schemas.openxmlformats.org/officeDocument/2006/relationships/hyperlink" Target="http://www.hzscr.cz/web-kontakty.aspx" TargetMode="External"/><Relationship Id="rId9" Type="http://schemas.openxmlformats.org/officeDocument/2006/relationships/hyperlink" Target="http://www.hzs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5753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dc:description/>
  <cp:lastModifiedBy>Jirka</cp:lastModifiedBy>
  <cp:revision>1</cp:revision>
  <dcterms:created xsi:type="dcterms:W3CDTF">2017-01-17T19:59:00Z</dcterms:created>
  <dcterms:modified xsi:type="dcterms:W3CDTF">2017-01-17T20:01:00Z</dcterms:modified>
</cp:coreProperties>
</file>